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ind w:firstLine="883" w:firstLineChars="200"/>
        <w:jc w:val="center"/>
        <w:rPr>
          <w:rFonts w:ascii="楷体" w:hAnsi="楷体" w:eastAsia="仿宋" w:cs="Times New Roman"/>
          <w:b/>
          <w:bCs/>
          <w:color w:val="000000" w:themeColor="text1"/>
          <w:sz w:val="44"/>
          <w:szCs w:val="44"/>
        </w:rPr>
      </w:pPr>
      <w:r>
        <w:rPr>
          <w:rFonts w:hint="eastAsia" w:ascii="楷体" w:hAnsi="楷体" w:eastAsia="仿宋" w:cs="Times New Roman"/>
          <w:b/>
          <w:bCs/>
          <w:color w:val="000000" w:themeColor="text1"/>
          <w:sz w:val="44"/>
          <w:szCs w:val="44"/>
        </w:rPr>
        <w:t>规划设计方案审查要点</w:t>
      </w:r>
    </w:p>
    <w:p>
      <w:pPr>
        <w:spacing w:line="460" w:lineRule="exact"/>
        <w:rPr>
          <w:rFonts w:ascii="楷体" w:hAnsi="楷体" w:eastAsia="仿宋" w:cs="Times New Roman"/>
          <w:b/>
          <w:bCs/>
          <w:color w:val="000000" w:themeColor="text1"/>
          <w:sz w:val="36"/>
          <w:szCs w:val="44"/>
        </w:rPr>
      </w:pPr>
    </w:p>
    <w:p>
      <w:pPr>
        <w:spacing w:line="460" w:lineRule="exact"/>
        <w:rPr>
          <w:rFonts w:ascii="仿宋_GB2312" w:hAnsi="宋体" w:eastAsia="仿宋"/>
          <w:sz w:val="32"/>
          <w:szCs w:val="32"/>
        </w:rPr>
      </w:pPr>
      <w:r>
        <w:rPr>
          <w:rFonts w:hint="eastAsia" w:ascii="仿宋_GB2312" w:eastAsia="仿宋"/>
          <w:sz w:val="32"/>
          <w:szCs w:val="32"/>
        </w:rPr>
        <w:t xml:space="preserve">   </w:t>
      </w:r>
      <w:r>
        <w:rPr>
          <w:rFonts w:hint="eastAsia" w:ascii="仿宋_GB2312" w:hAnsi="宋体" w:eastAsia="仿宋"/>
          <w:sz w:val="32"/>
          <w:szCs w:val="32"/>
        </w:rPr>
        <w:t>一、</w:t>
      </w:r>
      <w:r>
        <w:rPr>
          <w:rFonts w:hint="eastAsia" w:ascii="仿宋_GB2312" w:hAnsi="Times New Roman" w:eastAsia="仿宋" w:cs="Times New Roman"/>
          <w:color w:val="000000" w:themeColor="text1"/>
          <w:sz w:val="32"/>
          <w:szCs w:val="32"/>
        </w:rPr>
        <w:t>建设内容与规划性质关系，不符即不具备审查基本条件</w:t>
      </w:r>
      <w:r>
        <w:rPr>
          <w:rFonts w:hint="eastAsia" w:ascii="仿宋_GB2312" w:hAnsi="宋体" w:eastAsia="仿宋"/>
          <w:sz w:val="32"/>
          <w:szCs w:val="32"/>
        </w:rPr>
        <w:t>。</w:t>
      </w:r>
    </w:p>
    <w:p>
      <w:pPr>
        <w:spacing w:line="460" w:lineRule="exact"/>
        <w:ind w:firstLine="560"/>
        <w:rPr>
          <w:rFonts w:ascii="仿宋_GB2312" w:hAnsi="宋体" w:eastAsia="仿宋"/>
          <w:sz w:val="32"/>
          <w:szCs w:val="32"/>
        </w:rPr>
      </w:pPr>
      <w:r>
        <w:rPr>
          <w:rFonts w:hint="eastAsia" w:ascii="仿宋_GB2312" w:hAnsi="宋体" w:eastAsia="仿宋"/>
          <w:sz w:val="32"/>
          <w:szCs w:val="32"/>
        </w:rPr>
        <w:t>二、</w:t>
      </w:r>
      <w:r>
        <w:rPr>
          <w:rFonts w:hint="eastAsia" w:ascii="仿宋_GB2312" w:hAnsi="仿宋_GB2312" w:eastAsia="仿宋" w:cs="仿宋_GB2312"/>
          <w:color w:val="000000" w:themeColor="text1"/>
          <w:sz w:val="32"/>
          <w:szCs w:val="32"/>
        </w:rPr>
        <w:t>文本内容和深度审查：到达初扩深度，1、文本内容除一般性篇章外，还应当包含：</w:t>
      </w:r>
      <w:r>
        <w:rPr>
          <w:rFonts w:ascii="仿宋_GB2312" w:hAnsi="仿宋_GB2312" w:eastAsia="仿宋" w:cs="仿宋_GB2312"/>
          <w:color w:val="000000" w:themeColor="text1"/>
          <w:sz w:val="32"/>
          <w:szCs w:val="32"/>
        </w:rPr>
        <w:fldChar w:fldCharType="begin"/>
      </w:r>
      <w:r>
        <w:rPr>
          <w:rFonts w:ascii="仿宋_GB2312" w:hAnsi="仿宋_GB2312" w:eastAsia="仿宋" w:cs="仿宋_GB2312"/>
          <w:color w:val="000000" w:themeColor="text1"/>
          <w:sz w:val="32"/>
          <w:szCs w:val="32"/>
        </w:rPr>
        <w:instrText xml:space="preserve"> </w:instrText>
      </w:r>
      <w:r>
        <w:rPr>
          <w:rFonts w:hint="eastAsia" w:ascii="仿宋_GB2312" w:hAnsi="仿宋_GB2312" w:eastAsia="仿宋" w:cs="仿宋_GB2312"/>
          <w:color w:val="000000" w:themeColor="text1"/>
          <w:sz w:val="32"/>
          <w:szCs w:val="32"/>
        </w:rPr>
        <w:instrText xml:space="preserve">= 1 \* GB3</w:instrText>
      </w:r>
      <w:r>
        <w:rPr>
          <w:rFonts w:ascii="仿宋_GB2312" w:hAnsi="仿宋_GB2312" w:eastAsia="仿宋" w:cs="仿宋_GB2312"/>
          <w:color w:val="000000" w:themeColor="text1"/>
          <w:sz w:val="32"/>
          <w:szCs w:val="32"/>
        </w:rPr>
        <w:instrText xml:space="preserve"> </w:instrText>
      </w:r>
      <w:r>
        <w:rPr>
          <w:rFonts w:ascii="仿宋_GB2312" w:hAnsi="仿宋_GB2312" w:eastAsia="仿宋" w:cs="仿宋_GB2312"/>
          <w:color w:val="000000" w:themeColor="text1"/>
          <w:sz w:val="32"/>
          <w:szCs w:val="32"/>
        </w:rPr>
        <w:fldChar w:fldCharType="separate"/>
      </w:r>
      <w:r>
        <w:rPr>
          <w:rFonts w:hint="eastAsia" w:ascii="仿宋_GB2312" w:hAnsi="仿宋_GB2312" w:eastAsia="仿宋" w:cs="仿宋_GB2312"/>
          <w:color w:val="000000" w:themeColor="text1"/>
          <w:sz w:val="32"/>
          <w:szCs w:val="32"/>
        </w:rPr>
        <w:t>①</w:t>
      </w:r>
      <w:r>
        <w:rPr>
          <w:rFonts w:ascii="仿宋_GB2312" w:hAnsi="仿宋_GB2312" w:eastAsia="仿宋" w:cs="仿宋_GB2312"/>
          <w:color w:val="000000" w:themeColor="text1"/>
          <w:sz w:val="32"/>
          <w:szCs w:val="32"/>
        </w:rPr>
        <w:fldChar w:fldCharType="end"/>
      </w:r>
      <w:r>
        <w:rPr>
          <w:rFonts w:hint="eastAsia" w:ascii="仿宋_GB2312" w:hAnsi="仿宋_GB2312" w:eastAsia="仿宋" w:cs="仿宋_GB2312"/>
          <w:color w:val="000000" w:themeColor="text1"/>
          <w:sz w:val="32"/>
          <w:szCs w:val="32"/>
        </w:rPr>
        <w:t>绿色建筑专篇（星级）、</w:t>
      </w:r>
      <w:r>
        <w:rPr>
          <w:rFonts w:ascii="仿宋_GB2312" w:hAnsi="仿宋_GB2312" w:eastAsia="仿宋" w:cs="仿宋_GB2312"/>
          <w:color w:val="000000" w:themeColor="text1"/>
          <w:sz w:val="32"/>
          <w:szCs w:val="32"/>
        </w:rPr>
        <w:fldChar w:fldCharType="begin"/>
      </w:r>
      <w:r>
        <w:rPr>
          <w:rFonts w:ascii="仿宋_GB2312" w:hAnsi="仿宋_GB2312" w:eastAsia="仿宋" w:cs="仿宋_GB2312"/>
          <w:color w:val="000000" w:themeColor="text1"/>
          <w:sz w:val="32"/>
          <w:szCs w:val="32"/>
        </w:rPr>
        <w:instrText xml:space="preserve"> </w:instrText>
      </w:r>
      <w:r>
        <w:rPr>
          <w:rFonts w:hint="eastAsia" w:ascii="仿宋_GB2312" w:hAnsi="仿宋_GB2312" w:eastAsia="仿宋" w:cs="仿宋_GB2312"/>
          <w:color w:val="000000" w:themeColor="text1"/>
          <w:sz w:val="32"/>
          <w:szCs w:val="32"/>
        </w:rPr>
        <w:instrText xml:space="preserve">= 2 \* GB3</w:instrText>
      </w:r>
      <w:r>
        <w:rPr>
          <w:rFonts w:ascii="仿宋_GB2312" w:hAnsi="仿宋_GB2312" w:eastAsia="仿宋" w:cs="仿宋_GB2312"/>
          <w:color w:val="000000" w:themeColor="text1"/>
          <w:sz w:val="32"/>
          <w:szCs w:val="32"/>
        </w:rPr>
        <w:instrText xml:space="preserve"> </w:instrText>
      </w:r>
      <w:r>
        <w:rPr>
          <w:rFonts w:ascii="仿宋_GB2312" w:hAnsi="仿宋_GB2312" w:eastAsia="仿宋" w:cs="仿宋_GB2312"/>
          <w:color w:val="000000" w:themeColor="text1"/>
          <w:sz w:val="32"/>
          <w:szCs w:val="32"/>
        </w:rPr>
        <w:fldChar w:fldCharType="separate"/>
      </w:r>
      <w:r>
        <w:rPr>
          <w:rFonts w:hint="eastAsia" w:ascii="仿宋_GB2312" w:hAnsi="仿宋_GB2312" w:eastAsia="仿宋" w:cs="仿宋_GB2312"/>
          <w:color w:val="000000" w:themeColor="text1"/>
          <w:sz w:val="32"/>
          <w:szCs w:val="32"/>
        </w:rPr>
        <w:t>②</w:t>
      </w:r>
      <w:r>
        <w:rPr>
          <w:rFonts w:ascii="仿宋_GB2312" w:hAnsi="仿宋_GB2312" w:eastAsia="仿宋" w:cs="仿宋_GB2312"/>
          <w:color w:val="000000" w:themeColor="text1"/>
          <w:sz w:val="32"/>
          <w:szCs w:val="32"/>
        </w:rPr>
        <w:fldChar w:fldCharType="end"/>
      </w:r>
      <w:r>
        <w:rPr>
          <w:rFonts w:hint="eastAsia" w:ascii="仿宋_GB2312" w:hAnsi="仿宋_GB2312" w:eastAsia="仿宋" w:cs="仿宋_GB2312"/>
          <w:color w:val="000000" w:themeColor="text1"/>
          <w:sz w:val="32"/>
          <w:szCs w:val="32"/>
        </w:rPr>
        <w:t>海绵城市专篇（两项指标：海绵建设面积和年径流总率）、</w:t>
      </w:r>
      <w:r>
        <w:rPr>
          <w:rFonts w:ascii="仿宋_GB2312" w:hAnsi="仿宋_GB2312" w:eastAsia="仿宋" w:cs="仿宋_GB2312"/>
          <w:color w:val="000000" w:themeColor="text1"/>
          <w:sz w:val="32"/>
          <w:szCs w:val="32"/>
        </w:rPr>
        <w:fldChar w:fldCharType="begin"/>
      </w:r>
      <w:r>
        <w:rPr>
          <w:rFonts w:ascii="仿宋_GB2312" w:hAnsi="仿宋_GB2312" w:eastAsia="仿宋" w:cs="仿宋_GB2312"/>
          <w:color w:val="000000" w:themeColor="text1"/>
          <w:sz w:val="32"/>
          <w:szCs w:val="32"/>
        </w:rPr>
        <w:instrText xml:space="preserve"> </w:instrText>
      </w:r>
      <w:r>
        <w:rPr>
          <w:rFonts w:hint="eastAsia" w:ascii="仿宋_GB2312" w:hAnsi="仿宋_GB2312" w:eastAsia="仿宋" w:cs="仿宋_GB2312"/>
          <w:color w:val="000000" w:themeColor="text1"/>
          <w:sz w:val="32"/>
          <w:szCs w:val="32"/>
        </w:rPr>
        <w:instrText xml:space="preserve">= 3 \* GB3</w:instrText>
      </w:r>
      <w:r>
        <w:rPr>
          <w:rFonts w:ascii="仿宋_GB2312" w:hAnsi="仿宋_GB2312" w:eastAsia="仿宋" w:cs="仿宋_GB2312"/>
          <w:color w:val="000000" w:themeColor="text1"/>
          <w:sz w:val="32"/>
          <w:szCs w:val="32"/>
        </w:rPr>
        <w:instrText xml:space="preserve"> </w:instrText>
      </w:r>
      <w:r>
        <w:rPr>
          <w:rFonts w:ascii="仿宋_GB2312" w:hAnsi="仿宋_GB2312" w:eastAsia="仿宋" w:cs="仿宋_GB2312"/>
          <w:color w:val="000000" w:themeColor="text1"/>
          <w:sz w:val="32"/>
          <w:szCs w:val="32"/>
        </w:rPr>
        <w:fldChar w:fldCharType="separate"/>
      </w:r>
      <w:r>
        <w:rPr>
          <w:rFonts w:hint="eastAsia" w:ascii="仿宋_GB2312" w:hAnsi="仿宋_GB2312" w:eastAsia="仿宋" w:cs="仿宋_GB2312"/>
          <w:color w:val="000000" w:themeColor="text1"/>
          <w:sz w:val="32"/>
          <w:szCs w:val="32"/>
        </w:rPr>
        <w:t>③</w:t>
      </w:r>
      <w:r>
        <w:rPr>
          <w:rFonts w:ascii="仿宋_GB2312" w:hAnsi="仿宋_GB2312" w:eastAsia="仿宋" w:cs="仿宋_GB2312"/>
          <w:color w:val="000000" w:themeColor="text1"/>
          <w:sz w:val="32"/>
          <w:szCs w:val="32"/>
        </w:rPr>
        <w:fldChar w:fldCharType="end"/>
      </w:r>
      <w:r>
        <w:rPr>
          <w:rFonts w:hint="eastAsia" w:ascii="仿宋_GB2312" w:hAnsi="仿宋_GB2312" w:eastAsia="仿宋" w:cs="仿宋_GB2312"/>
          <w:color w:val="000000" w:themeColor="text1"/>
          <w:sz w:val="32"/>
          <w:szCs w:val="32"/>
        </w:rPr>
        <w:t>市政专篇（要求生活阳台下水接入污水管；暂不能接入市政污水系统的，要求自建一体化临时处理站）；</w:t>
      </w:r>
      <w:r>
        <w:rPr>
          <w:rFonts w:ascii="仿宋_GB2312" w:hAnsi="仿宋_GB2312" w:eastAsia="仿宋" w:cs="仿宋_GB2312"/>
          <w:color w:val="000000" w:themeColor="text1"/>
          <w:sz w:val="32"/>
          <w:szCs w:val="32"/>
        </w:rPr>
        <w:fldChar w:fldCharType="begin"/>
      </w:r>
      <w:r>
        <w:rPr>
          <w:rFonts w:ascii="仿宋_GB2312" w:hAnsi="仿宋_GB2312" w:eastAsia="仿宋" w:cs="仿宋_GB2312"/>
          <w:color w:val="000000" w:themeColor="text1"/>
          <w:sz w:val="32"/>
          <w:szCs w:val="32"/>
        </w:rPr>
        <w:instrText xml:space="preserve"> </w:instrText>
      </w:r>
      <w:r>
        <w:rPr>
          <w:rFonts w:hint="eastAsia" w:ascii="仿宋_GB2312" w:hAnsi="仿宋_GB2312" w:eastAsia="仿宋" w:cs="仿宋_GB2312"/>
          <w:color w:val="000000" w:themeColor="text1"/>
          <w:sz w:val="32"/>
          <w:szCs w:val="32"/>
        </w:rPr>
        <w:instrText xml:space="preserve">= 4 \* GB3</w:instrText>
      </w:r>
      <w:r>
        <w:rPr>
          <w:rFonts w:ascii="仿宋_GB2312" w:hAnsi="仿宋_GB2312" w:eastAsia="仿宋" w:cs="仿宋_GB2312"/>
          <w:color w:val="000000" w:themeColor="text1"/>
          <w:sz w:val="32"/>
          <w:szCs w:val="32"/>
        </w:rPr>
        <w:instrText xml:space="preserve"> </w:instrText>
      </w:r>
      <w:r>
        <w:rPr>
          <w:rFonts w:ascii="仿宋_GB2312" w:hAnsi="仿宋_GB2312" w:eastAsia="仿宋" w:cs="仿宋_GB2312"/>
          <w:color w:val="000000" w:themeColor="text1"/>
          <w:sz w:val="32"/>
          <w:szCs w:val="32"/>
        </w:rPr>
        <w:fldChar w:fldCharType="separate"/>
      </w:r>
      <w:r>
        <w:rPr>
          <w:rFonts w:hint="eastAsia" w:ascii="仿宋_GB2312" w:hAnsi="仿宋_GB2312" w:eastAsia="仿宋" w:cs="仿宋_GB2312"/>
          <w:color w:val="000000" w:themeColor="text1"/>
          <w:sz w:val="32"/>
          <w:szCs w:val="32"/>
        </w:rPr>
        <w:t>④</w:t>
      </w:r>
      <w:r>
        <w:rPr>
          <w:rFonts w:ascii="仿宋_GB2312" w:hAnsi="仿宋_GB2312" w:eastAsia="仿宋" w:cs="仿宋_GB2312"/>
          <w:color w:val="000000" w:themeColor="text1"/>
          <w:sz w:val="32"/>
          <w:szCs w:val="32"/>
        </w:rPr>
        <w:fldChar w:fldCharType="end"/>
      </w:r>
      <w:r>
        <w:rPr>
          <w:rFonts w:hint="eastAsia" w:ascii="仿宋_GB2312" w:hAnsi="仿宋_GB2312" w:eastAsia="仿宋" w:cs="仿宋_GB2312"/>
          <w:color w:val="000000" w:themeColor="text1"/>
          <w:sz w:val="32"/>
          <w:szCs w:val="32"/>
        </w:rPr>
        <w:t>装配式专篇；2、图纸应包含：总平面、建筑定位、交通分析、消防、市政、绿地系统等蓝图、单体平、立、剖方案等</w:t>
      </w:r>
      <w:r>
        <w:rPr>
          <w:rFonts w:hint="eastAsia" w:ascii="仿宋_GB2312" w:hAnsi="宋体" w:eastAsia="仿宋"/>
          <w:sz w:val="32"/>
          <w:szCs w:val="32"/>
        </w:rPr>
        <w:t>。</w:t>
      </w:r>
    </w:p>
    <w:p>
      <w:pPr>
        <w:spacing w:line="460" w:lineRule="exact"/>
        <w:ind w:firstLine="560"/>
        <w:rPr>
          <w:rFonts w:ascii="仿宋_GB2312" w:hAnsi="宋体" w:eastAsia="仿宋"/>
          <w:sz w:val="32"/>
          <w:szCs w:val="32"/>
        </w:rPr>
      </w:pPr>
      <w:r>
        <w:rPr>
          <w:rFonts w:hint="eastAsia" w:ascii="仿宋_GB2312" w:hAnsi="宋体" w:eastAsia="仿宋"/>
          <w:sz w:val="32"/>
          <w:szCs w:val="32"/>
        </w:rPr>
        <w:t>三、风貌审查：贴线率，城市设计，建筑风格，立面效果（包括第五立面），与周边协调关系。</w:t>
      </w:r>
    </w:p>
    <w:p>
      <w:pPr>
        <w:spacing w:line="460" w:lineRule="exact"/>
        <w:ind w:firstLine="560"/>
        <w:rPr>
          <w:rFonts w:ascii="仿宋_GB2312" w:hAnsi="宋体" w:eastAsia="仿宋"/>
          <w:sz w:val="32"/>
          <w:szCs w:val="32"/>
        </w:rPr>
      </w:pPr>
      <w:r>
        <w:rPr>
          <w:rFonts w:hint="eastAsia" w:ascii="仿宋_GB2312" w:hAnsi="宋体" w:eastAsia="仿宋"/>
          <w:sz w:val="32"/>
          <w:szCs w:val="32"/>
        </w:rPr>
        <w:t>四、总平面方案审查：建筑布局（底商分离、朝向、与周边道路关系），绿色通道或视线通廊情况，交通组织（人流和车流，住宅和商业），配建设施（用地规模和布局），附属设施（如垃圾收集点、污水处理设施；尽量考虑全面并标明位置以免邻避问题），场地竖向（可按8%缓坡，通常不超过</w:t>
      </w:r>
      <w:bookmarkStart w:id="0" w:name="_GoBack"/>
      <w:bookmarkEnd w:id="0"/>
      <w:r>
        <w:rPr>
          <w:rFonts w:hint="eastAsia" w:ascii="仿宋_GB2312" w:hAnsi="宋体" w:eastAsia="仿宋"/>
          <w:sz w:val="32"/>
          <w:szCs w:val="32"/>
        </w:rPr>
        <w:t>道路标高1.5米），经济指标列表情况。</w:t>
      </w:r>
    </w:p>
    <w:p>
      <w:pPr>
        <w:spacing w:line="460" w:lineRule="exact"/>
        <w:ind w:firstLine="560"/>
        <w:rPr>
          <w:rFonts w:ascii="仿宋_GB2312" w:hAnsi="宋体" w:eastAsia="仿宋"/>
          <w:sz w:val="32"/>
          <w:szCs w:val="32"/>
        </w:rPr>
      </w:pPr>
      <w:r>
        <w:rPr>
          <w:rFonts w:hint="eastAsia" w:ascii="仿宋_GB2312" w:hAnsi="宋体" w:eastAsia="仿宋"/>
          <w:sz w:val="32"/>
          <w:szCs w:val="32"/>
        </w:rPr>
        <w:t>五、</w:t>
      </w:r>
      <w:r>
        <w:rPr>
          <w:rFonts w:hint="eastAsia" w:ascii="仿宋_GB2312" w:hAnsi="仿宋_GB2312" w:eastAsia="仿宋" w:cs="仿宋_GB2312"/>
          <w:color w:val="000000" w:themeColor="text1"/>
          <w:sz w:val="32"/>
          <w:szCs w:val="32"/>
        </w:rPr>
        <w:t>对照图则和技术规定审查强制性指标：容积率、密度、绿地率（特别要审查有效绿化）、限高（要注意建筑高度的界定方法）、停车位（要注意无效车位）、建筑退线和间距、地下室（要求退用地红线3米）</w:t>
      </w:r>
    </w:p>
    <w:p>
      <w:pPr>
        <w:spacing w:line="460" w:lineRule="exact"/>
        <w:ind w:firstLine="560"/>
        <w:rPr>
          <w:rFonts w:ascii="仿宋_GB2312" w:hAnsi="仿宋_GB2312" w:eastAsia="仿宋" w:cs="仿宋_GB2312"/>
          <w:color w:val="000000" w:themeColor="text1"/>
          <w:sz w:val="32"/>
          <w:szCs w:val="32"/>
          <w:highlight w:val="none"/>
        </w:rPr>
      </w:pPr>
      <w:r>
        <w:rPr>
          <w:rFonts w:hint="eastAsia" w:ascii="仿宋_GB2312" w:hAnsi="宋体" w:eastAsia="仿宋"/>
          <w:sz w:val="32"/>
          <w:szCs w:val="32"/>
          <w:highlight w:val="none"/>
        </w:rPr>
        <w:t>六、建筑</w:t>
      </w:r>
      <w:r>
        <w:rPr>
          <w:rFonts w:hint="eastAsia" w:ascii="仿宋_GB2312" w:hAnsi="仿宋_GB2312" w:eastAsia="仿宋" w:cs="仿宋_GB2312"/>
          <w:color w:val="000000" w:themeColor="text1"/>
          <w:sz w:val="32"/>
          <w:szCs w:val="32"/>
          <w:highlight w:val="none"/>
        </w:rPr>
        <w:t>单体平、立、剖方案，要要注意层高（商业：</w:t>
      </w:r>
      <w:r>
        <w:rPr>
          <w:rFonts w:ascii="仿宋_GB2312" w:hAnsi="仿宋_GB2312" w:eastAsia="仿宋" w:cs="仿宋_GB2312"/>
          <w:color w:val="000000" w:themeColor="text1"/>
          <w:sz w:val="32"/>
          <w:szCs w:val="32"/>
          <w:highlight w:val="none"/>
        </w:rPr>
        <w:t>1-3层，层高6.1米，其中1层按80%商业开间至少300平控制 ，2-3层按照150平方米控制</w:t>
      </w:r>
      <w:r>
        <w:rPr>
          <w:rFonts w:hint="eastAsia" w:ascii="仿宋_GB2312" w:hAnsi="仿宋_GB2312" w:eastAsia="仿宋" w:cs="仿宋_GB2312"/>
          <w:color w:val="000000" w:themeColor="text1"/>
          <w:sz w:val="32"/>
          <w:szCs w:val="32"/>
          <w:highlight w:val="none"/>
        </w:rPr>
        <w:t>，</w:t>
      </w:r>
      <w:r>
        <w:rPr>
          <w:rFonts w:ascii="仿宋_GB2312" w:hAnsi="仿宋_GB2312" w:eastAsia="仿宋" w:cs="仿宋_GB2312"/>
          <w:color w:val="000000" w:themeColor="text1"/>
          <w:sz w:val="32"/>
          <w:szCs w:val="32"/>
          <w:highlight w:val="none"/>
        </w:rPr>
        <w:t>四层以上每层80%按至少150平控制，设置中央空调的层高5.4米，单体式空调4.5米</w:t>
      </w:r>
      <w:r>
        <w:rPr>
          <w:rFonts w:hint="eastAsia" w:ascii="仿宋_GB2312" w:hAnsi="仿宋_GB2312" w:eastAsia="仿宋" w:cs="仿宋_GB2312"/>
          <w:color w:val="000000" w:themeColor="text1"/>
          <w:sz w:val="32"/>
          <w:szCs w:val="32"/>
          <w:highlight w:val="none"/>
        </w:rPr>
        <w:t>；</w:t>
      </w:r>
      <w:r>
        <w:rPr>
          <w:rFonts w:ascii="仿宋_GB2312" w:hAnsi="仿宋_GB2312" w:eastAsia="仿宋" w:cs="仿宋_GB2312"/>
          <w:color w:val="000000" w:themeColor="text1"/>
          <w:sz w:val="32"/>
          <w:szCs w:val="32"/>
          <w:highlight w:val="none"/>
        </w:rPr>
        <w:t>办公：80%按150平分割面积控制，层高4.5米</w:t>
      </w:r>
      <w:r>
        <w:rPr>
          <w:rFonts w:hint="eastAsia" w:ascii="仿宋_GB2312" w:hAnsi="仿宋_GB2312" w:eastAsia="仿宋" w:cs="仿宋_GB2312"/>
          <w:color w:val="000000" w:themeColor="text1"/>
          <w:sz w:val="32"/>
          <w:szCs w:val="32"/>
          <w:highlight w:val="none"/>
        </w:rPr>
        <w:t>；住宅4.9米），户型是否涉嫌细节过度设计如凹窗、花架、设备平台、镂空连梁、露台等可能偷面积情况，要注意公摊比例。商业建筑层高、单元分割面积及计容方式规定：未设计中央空调的商业用房按分隔单元划分每层套内计容建筑面积小于等于</w:t>
      </w:r>
      <w:r>
        <w:rPr>
          <w:rFonts w:ascii="仿宋_GB2312" w:hAnsi="仿宋_GB2312" w:eastAsia="仿宋" w:cs="仿宋_GB2312"/>
          <w:color w:val="000000" w:themeColor="text1"/>
          <w:sz w:val="32"/>
          <w:szCs w:val="32"/>
          <w:highlight w:val="none"/>
        </w:rPr>
        <w:t>300平方米的，建筑层高不得超过4.5米；大于300平方米的，建筑层高不得超过6.1米；超过6.1米的，不论是否有隔层，按《关于规范我省计入容积率建筑面积计算规则的通知》（琼建规函【2014】523号）执行，即按两倍计容；商业用房中的中庭、大堂采光厅及电影院、音乐厅、剧院等特殊功能空间的层高按相关规范控制。</w:t>
      </w:r>
    </w:p>
    <w:p>
      <w:pPr>
        <w:spacing w:line="460" w:lineRule="exact"/>
        <w:ind w:firstLine="560"/>
        <w:rPr>
          <w:rFonts w:ascii="仿宋_GB2312" w:hAnsi="仿宋_GB2312" w:eastAsia="仿宋" w:cs="仿宋_GB2312"/>
          <w:color w:val="000000" w:themeColor="text1"/>
          <w:sz w:val="32"/>
          <w:szCs w:val="32"/>
        </w:rPr>
      </w:pPr>
      <w:r>
        <w:rPr>
          <w:rFonts w:hint="eastAsia" w:ascii="仿宋_GB2312" w:hAnsi="仿宋_GB2312" w:eastAsia="仿宋" w:cs="仿宋_GB2312"/>
          <w:color w:val="000000" w:themeColor="text1"/>
          <w:sz w:val="32"/>
          <w:szCs w:val="32"/>
        </w:rPr>
        <w:t>七、建筑材料：建筑方案效果要与建材匹配，要标明立面材料。</w:t>
      </w:r>
    </w:p>
    <w:p>
      <w:pPr>
        <w:spacing w:line="460" w:lineRule="exact"/>
        <w:ind w:firstLine="560"/>
        <w:rPr>
          <w:rFonts w:ascii="仿宋_GB2312" w:hAnsi="仿宋_GB2312" w:eastAsia="仿宋" w:cs="仿宋_GB2312"/>
          <w:color w:val="000000" w:themeColor="text1"/>
          <w:sz w:val="32"/>
          <w:szCs w:val="32"/>
        </w:rPr>
      </w:pPr>
      <w:r>
        <w:rPr>
          <w:rFonts w:hint="eastAsia" w:ascii="仿宋_GB2312" w:hAnsi="仿宋_GB2312" w:eastAsia="仿宋" w:cs="仿宋_GB2312"/>
          <w:color w:val="000000" w:themeColor="text1"/>
          <w:sz w:val="32"/>
          <w:szCs w:val="32"/>
        </w:rPr>
        <w:t>八：内外交通组织：出入口设置方案是否合理（宽度；与道路交叉口距离，与相邻开口距离），与小区内部交通衔接是否合理。</w:t>
      </w:r>
    </w:p>
    <w:p>
      <w:pPr>
        <w:spacing w:line="460" w:lineRule="exact"/>
        <w:ind w:firstLine="560"/>
        <w:rPr>
          <w:rFonts w:ascii="仿宋_GB2312" w:hAnsi="仿宋_GB2312" w:eastAsia="仿宋" w:cs="仿宋_GB2312"/>
          <w:color w:val="000000" w:themeColor="text1"/>
          <w:sz w:val="32"/>
          <w:szCs w:val="32"/>
        </w:rPr>
      </w:pPr>
      <w:r>
        <w:rPr>
          <w:rFonts w:hint="eastAsia" w:ascii="仿宋_GB2312" w:hAnsi="仿宋_GB2312" w:eastAsia="仿宋" w:cs="仿宋_GB2312"/>
          <w:color w:val="000000" w:themeColor="text1"/>
          <w:sz w:val="32"/>
          <w:szCs w:val="32"/>
        </w:rPr>
        <w:t>九、政策和行政要求方面：如海府3号文；增容、变性；住宅每户套内建筑面积不少于100㎡；独立办公套内不少150㎡；配套费情况；地下室利用涉及补交出让金情况。对于江东新区管理局成立以来出让的土地，特别要注意土地出入合同约定事项，比如土地性质和建筑性质比例、自持等特殊要求。</w:t>
      </w:r>
    </w:p>
    <w:p>
      <w:pPr>
        <w:spacing w:line="460" w:lineRule="exact"/>
        <w:ind w:firstLine="560"/>
        <w:rPr>
          <w:rFonts w:ascii="仿宋_GB2312" w:hAnsi="仿宋_GB2312" w:eastAsia="仿宋" w:cs="仿宋_GB2312"/>
          <w:color w:val="000000" w:themeColor="text1"/>
          <w:sz w:val="32"/>
          <w:szCs w:val="32"/>
        </w:rPr>
      </w:pPr>
      <w:r>
        <w:rPr>
          <w:rFonts w:hint="eastAsia" w:ascii="仿宋_GB2312" w:hAnsi="仿宋_GB2312" w:eastAsia="仿宋" w:cs="仿宋_GB2312"/>
          <w:color w:val="000000" w:themeColor="text1"/>
          <w:sz w:val="32"/>
          <w:szCs w:val="32"/>
        </w:rPr>
        <w:t>十、装配式建筑申请容积率补偿：要符合规定程序和审批环节，即住建部门审查确定面积→规划方案审查（要注明已经住建部门审查）→公示→报市政府批准→后发证。</w:t>
      </w:r>
    </w:p>
    <w:p>
      <w:pPr>
        <w:spacing w:line="460" w:lineRule="exact"/>
        <w:ind w:firstLine="560"/>
        <w:rPr>
          <w:rFonts w:ascii="仿宋_GB2312" w:hAnsi="仿宋_GB2312" w:eastAsia="仿宋" w:cs="仿宋_GB2312"/>
          <w:color w:val="000000" w:themeColor="text1"/>
          <w:sz w:val="32"/>
          <w:szCs w:val="32"/>
        </w:rPr>
      </w:pPr>
      <w:r>
        <w:rPr>
          <w:rFonts w:hint="eastAsia" w:ascii="仿宋_GB2312" w:hAnsi="仿宋_GB2312" w:eastAsia="仿宋" w:cs="仿宋_GB2312"/>
          <w:color w:val="000000" w:themeColor="text1"/>
          <w:sz w:val="32"/>
          <w:szCs w:val="32"/>
        </w:rPr>
        <w:t>十一、</w:t>
      </w:r>
      <w:r>
        <w:rPr>
          <w:rFonts w:ascii="仿宋_GB2312" w:hAnsi="仿宋_GB2312" w:eastAsia="仿宋" w:cs="仿宋_GB2312"/>
          <w:color w:val="000000" w:themeColor="text1"/>
          <w:sz w:val="32"/>
          <w:szCs w:val="32"/>
        </w:rPr>
        <w:t>其他高标准要求：太阳能、光伏发电、星级酒店、星级绿色建筑等。</w:t>
      </w:r>
    </w:p>
    <w:p>
      <w:pPr>
        <w:spacing w:line="460" w:lineRule="exact"/>
        <w:ind w:firstLine="560"/>
        <w:rPr>
          <w:rFonts w:ascii="仿宋_GB2312" w:hAnsi="仿宋_GB2312" w:eastAsia="仿宋" w:cs="仿宋_GB2312"/>
          <w:color w:val="000000" w:themeColor="text1"/>
          <w:sz w:val="32"/>
          <w:szCs w:val="32"/>
        </w:rPr>
      </w:pPr>
      <w:r>
        <w:rPr>
          <w:rFonts w:hint="eastAsia" w:ascii="仿宋_GB2312" w:hAnsi="仿宋_GB2312" w:eastAsia="仿宋" w:cs="仿宋_GB2312"/>
          <w:color w:val="000000" w:themeColor="text1"/>
          <w:sz w:val="32"/>
          <w:szCs w:val="32"/>
        </w:rPr>
        <w:t>十二、清污分流：房屋建筑类项目阳台区域采用洗衣机污水独立立管，污水、雨水管线分别</w:t>
      </w:r>
      <w:r>
        <w:rPr>
          <w:rFonts w:ascii="仿宋_GB2312" w:hAnsi="仿宋_GB2312" w:eastAsia="仿宋" w:cs="仿宋_GB2312"/>
          <w:color w:val="000000" w:themeColor="text1"/>
          <w:sz w:val="32"/>
          <w:szCs w:val="32"/>
        </w:rPr>
        <w:t>准确接入</w:t>
      </w:r>
      <w:r>
        <w:rPr>
          <w:rFonts w:hint="eastAsia" w:ascii="仿宋_GB2312" w:hAnsi="仿宋_GB2312" w:eastAsia="仿宋" w:cs="仿宋_GB2312"/>
          <w:color w:val="000000" w:themeColor="text1"/>
          <w:sz w:val="32"/>
          <w:szCs w:val="32"/>
        </w:rPr>
        <w:t>市政道路污水井、雨水井，避免雨水污水管线错接；市政道路雨水、污水下游无出路时，应充分考虑雨污水临时排放、就地处理并中水回用；采取雨水调蓄径流控制措施，减少雨水外排。</w:t>
      </w:r>
      <w:r>
        <w:rPr>
          <w:rFonts w:ascii="仿宋_GB2312" w:hAnsi="仿宋_GB2312" w:eastAsia="仿宋" w:cs="仿宋_GB2312"/>
          <w:color w:val="000000" w:themeColor="text1"/>
          <w:sz w:val="32"/>
          <w:szCs w:val="32"/>
        </w:rPr>
        <w:t>严格依照规划，充分考虑项目雨水污水 排放上下游关系、雨水出口与水系等关系，以及污水排放下游贯通性与现状管线、污水处理厂等衔接，提供雨水污水规划条件，防范项目建成即无雨水污水出路问题。</w:t>
      </w:r>
    </w:p>
    <w:p>
      <w:pPr>
        <w:spacing w:line="460" w:lineRule="exact"/>
        <w:ind w:firstLine="560"/>
        <w:rPr>
          <w:rFonts w:ascii="仿宋_GB2312" w:hAnsi="仿宋_GB2312" w:eastAsia="仿宋" w:cs="仿宋_GB2312"/>
          <w:color w:val="000000" w:themeColor="text1"/>
          <w:sz w:val="32"/>
          <w:szCs w:val="32"/>
        </w:rPr>
      </w:pPr>
      <w:r>
        <w:rPr>
          <w:rFonts w:ascii="仿宋_GB2312" w:hAnsi="仿宋_GB2312" w:eastAsia="仿宋" w:cs="仿宋_GB2312"/>
          <w:color w:val="000000" w:themeColor="text1"/>
          <w:sz w:val="32"/>
          <w:szCs w:val="32"/>
        </w:rPr>
        <w:t>十</w:t>
      </w:r>
      <w:r>
        <w:rPr>
          <w:rFonts w:hint="eastAsia" w:ascii="仿宋_GB2312" w:hAnsi="仿宋_GB2312" w:eastAsia="仿宋" w:cs="仿宋_GB2312"/>
          <w:color w:val="000000" w:themeColor="text1"/>
          <w:sz w:val="32"/>
          <w:szCs w:val="32"/>
        </w:rPr>
        <w:t>三</w:t>
      </w:r>
      <w:r>
        <w:rPr>
          <w:rFonts w:ascii="仿宋_GB2312" w:hAnsi="仿宋_GB2312" w:eastAsia="仿宋" w:cs="仿宋_GB2312"/>
          <w:color w:val="000000" w:themeColor="text1"/>
          <w:sz w:val="32"/>
          <w:szCs w:val="32"/>
        </w:rPr>
        <w:t>、其他细节：标注是否完整规范，有无明显错误表达。</w:t>
      </w:r>
    </w:p>
    <w:p>
      <w:pPr>
        <w:spacing w:line="460" w:lineRule="exact"/>
        <w:ind w:firstLine="560"/>
        <w:rPr>
          <w:rFonts w:ascii="仿宋_GB2312" w:hAnsi="仿宋_GB2312" w:eastAsia="仿宋" w:cs="仿宋_GB2312"/>
          <w:color w:val="000000" w:themeColor="text1"/>
          <w:sz w:val="32"/>
          <w:szCs w:val="32"/>
        </w:rPr>
      </w:pPr>
    </w:p>
    <w:p>
      <w:pPr>
        <w:spacing w:line="460" w:lineRule="exact"/>
        <w:ind w:firstLine="560"/>
        <w:rPr>
          <w:rFonts w:ascii="仿宋_GB2312" w:hAnsi="仿宋_GB2312" w:eastAsia="仿宋" w:cs="仿宋_GB2312"/>
          <w:color w:val="000000" w:themeColor="text1"/>
          <w:sz w:val="32"/>
          <w:szCs w:val="32"/>
        </w:rPr>
      </w:pPr>
    </w:p>
    <w:p>
      <w:pPr>
        <w:spacing w:line="460" w:lineRule="exact"/>
        <w:ind w:firstLine="560"/>
        <w:rPr>
          <w:rFonts w:ascii="仿宋_GB2312" w:hAnsi="仿宋_GB2312" w:eastAsia="仿宋" w:cs="仿宋_GB2312"/>
          <w:color w:val="000000" w:themeColor="text1"/>
          <w:sz w:val="32"/>
          <w:szCs w:val="32"/>
        </w:rPr>
      </w:pPr>
      <w:r>
        <w:rPr>
          <w:rFonts w:hint="eastAsia" w:ascii="仿宋_GB2312" w:hAnsi="仿宋_GB2312" w:eastAsia="仿宋" w:cs="仿宋_GB2312"/>
          <w:color w:val="000000" w:themeColor="text1"/>
          <w:sz w:val="32"/>
          <w:szCs w:val="32"/>
          <w:highlight w:val="yellow"/>
        </w:rPr>
        <w:t>请按以上审查要点落实后提交报建方案。</w:t>
      </w:r>
    </w:p>
    <w:sectPr>
      <w:pgSz w:w="11906" w:h="16838"/>
      <w:pgMar w:top="1440" w:right="1486" w:bottom="1440" w:left="11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36583"/>
    <w:rsid w:val="00065F6F"/>
    <w:rsid w:val="00080422"/>
    <w:rsid w:val="0008081E"/>
    <w:rsid w:val="00080ED9"/>
    <w:rsid w:val="000A3F21"/>
    <w:rsid w:val="000B391C"/>
    <w:rsid w:val="00125CB2"/>
    <w:rsid w:val="00136583"/>
    <w:rsid w:val="00154876"/>
    <w:rsid w:val="00165456"/>
    <w:rsid w:val="00175A26"/>
    <w:rsid w:val="001B38D6"/>
    <w:rsid w:val="001F7DF4"/>
    <w:rsid w:val="00211CB6"/>
    <w:rsid w:val="0023730B"/>
    <w:rsid w:val="002433AB"/>
    <w:rsid w:val="002A1496"/>
    <w:rsid w:val="002B0DD8"/>
    <w:rsid w:val="0031089E"/>
    <w:rsid w:val="00326094"/>
    <w:rsid w:val="003453C4"/>
    <w:rsid w:val="003D5DB2"/>
    <w:rsid w:val="00413AE3"/>
    <w:rsid w:val="00421F8C"/>
    <w:rsid w:val="004274AF"/>
    <w:rsid w:val="00453E2F"/>
    <w:rsid w:val="00463BD8"/>
    <w:rsid w:val="00480674"/>
    <w:rsid w:val="004A1080"/>
    <w:rsid w:val="004B179A"/>
    <w:rsid w:val="00514AA7"/>
    <w:rsid w:val="0055063F"/>
    <w:rsid w:val="005714E0"/>
    <w:rsid w:val="0058269A"/>
    <w:rsid w:val="005B0958"/>
    <w:rsid w:val="005C3FCC"/>
    <w:rsid w:val="005D3E22"/>
    <w:rsid w:val="005D7B8C"/>
    <w:rsid w:val="005F7F47"/>
    <w:rsid w:val="00641008"/>
    <w:rsid w:val="006C094C"/>
    <w:rsid w:val="006D4F8E"/>
    <w:rsid w:val="006F2CF6"/>
    <w:rsid w:val="0075379F"/>
    <w:rsid w:val="007635F9"/>
    <w:rsid w:val="00783965"/>
    <w:rsid w:val="007E434A"/>
    <w:rsid w:val="007E6C14"/>
    <w:rsid w:val="007F0AFF"/>
    <w:rsid w:val="00806434"/>
    <w:rsid w:val="008134F0"/>
    <w:rsid w:val="008233B8"/>
    <w:rsid w:val="00835962"/>
    <w:rsid w:val="0089756E"/>
    <w:rsid w:val="008C4F8E"/>
    <w:rsid w:val="008D3216"/>
    <w:rsid w:val="00967440"/>
    <w:rsid w:val="00970C8E"/>
    <w:rsid w:val="00972914"/>
    <w:rsid w:val="0098652A"/>
    <w:rsid w:val="00996F96"/>
    <w:rsid w:val="009C46EF"/>
    <w:rsid w:val="009C5272"/>
    <w:rsid w:val="009F23D4"/>
    <w:rsid w:val="00A77B2A"/>
    <w:rsid w:val="00AB359E"/>
    <w:rsid w:val="00AB5590"/>
    <w:rsid w:val="00AD4A2C"/>
    <w:rsid w:val="00B0097C"/>
    <w:rsid w:val="00B15285"/>
    <w:rsid w:val="00B175F2"/>
    <w:rsid w:val="00B9161E"/>
    <w:rsid w:val="00B929F1"/>
    <w:rsid w:val="00B930A6"/>
    <w:rsid w:val="00B9513D"/>
    <w:rsid w:val="00B97F23"/>
    <w:rsid w:val="00BD19BE"/>
    <w:rsid w:val="00C679B1"/>
    <w:rsid w:val="00C719FA"/>
    <w:rsid w:val="00CF699F"/>
    <w:rsid w:val="00D20EE7"/>
    <w:rsid w:val="00D34C1F"/>
    <w:rsid w:val="00D4431C"/>
    <w:rsid w:val="00D83DD5"/>
    <w:rsid w:val="00D90C20"/>
    <w:rsid w:val="00DB03A0"/>
    <w:rsid w:val="00DF2C66"/>
    <w:rsid w:val="00ED48B1"/>
    <w:rsid w:val="00EF1B7C"/>
    <w:rsid w:val="00F03B2C"/>
    <w:rsid w:val="00F265AF"/>
    <w:rsid w:val="00F52A5B"/>
    <w:rsid w:val="00FA3E98"/>
    <w:rsid w:val="00FB0030"/>
    <w:rsid w:val="00FE581F"/>
    <w:rsid w:val="00FF2942"/>
    <w:rsid w:val="00FF4355"/>
    <w:rsid w:val="00FF57FD"/>
    <w:rsid w:val="2972165F"/>
    <w:rsid w:val="5E5A04E8"/>
    <w:rsid w:val="79BE0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字符"/>
    <w:basedOn w:val="6"/>
    <w:link w:val="2"/>
    <w:semiHidden/>
    <w:qFormat/>
    <w:uiPriority w:val="99"/>
    <w:rPr>
      <w:sz w:val="18"/>
      <w:szCs w:val="18"/>
    </w:rPr>
  </w:style>
  <w:style w:type="character" w:styleId="11">
    <w:name w:val="Placeholder Text"/>
    <w:basedOn w:val="6"/>
    <w:semiHidden/>
    <w:qFormat/>
    <w:uiPriority w:val="99"/>
    <w:rPr>
      <w:color w:val="80808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234</Words>
  <Characters>1339</Characters>
  <Lines>11</Lines>
  <Paragraphs>3</Paragraphs>
  <TotalTime>499</TotalTime>
  <ScaleCrop>false</ScaleCrop>
  <LinksUpToDate>false</LinksUpToDate>
  <CharactersWithSpaces>1570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2020-09-07T07:25:00Z</dcterms:created>
  <dc:creator>wu qz</dc:creator>
  <cp:lastModifiedBy>Lilium娟</cp:lastModifiedBy>
  <cp:lastPrinted>2021-11-19T10:12:45Z</cp:lastPrinted>
  <dcterms:modified xsi:type="dcterms:W3CDTF">2021-11-19T10:12:50Z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9AEDDA0C50E942CBA8382F36EBA12467</vt:lpwstr>
  </property>
</Properties>
</file>